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34</w:t>
      </w:r>
    </w:p>
    <w:p>
      <w:r>
        <w:t>Bundesgericht (BGE), 1996-06-24, FR</w:t>
      </w:r>
    </w:p>
    <w:p>
      <w:r>
        <w:rPr>
          <w:b/>
        </w:rPr>
        <w:t xml:space="preserve">Quelle: </w:t>
      </w:r>
      <w:r>
        <w:t>https://mcp.opencaselaw.ch/entscheid/bge_124 III 34</w:t>
      </w:r>
    </w:p>
    <w:p>
      <w:r>
        <w:t>FR: ATF 124 III 34</w:t>
      </w:r>
    </w:p>
    <w:p>
      <w:r>
        <w:t>IT: DTF 124 III 34</w:t>
      </w:r>
    </w:p>
    <w:p>
      <w:pPr>
        <w:pStyle w:val="Heading2"/>
      </w:pPr>
      <w:r>
        <w:t>Regeste</w:t>
      </w:r>
    </w:p>
    <w:p>
      <w:r>
        <w:t>Regeste Frist zur Erhebung der Aberkennungsklage (Art. 83 Abs. 2 SchKG); willkürliche Auslegung einer Bestimmung des kantonalen Prozessrechts, die ein suspensives Rechtsmittel gegen einen im Säumnisverfahren ergangenen Rechtsöffnungsentscheid vorsieht. Wo das kantonale Prozessrecht (hier des Kantons Genf) beim Einspruch gegen ein Säumnisurteil eine bestimmte Form für den Fall vorschreibt, dass dieses im ordentlichen Verfahren ergangen ist (Art. 90 ZPO/GE), nicht aber für den Fall des summarischen Verfahrens (Art. 355 Abs. 2 ZPO/GE), ist es willkürlich, diesem klaren Unterschied im Gesetz nicht Rechnung zu tragen.</w:t>
      </w:r>
    </w:p>
    <w:p>
      <w:pPr>
        <w:pStyle w:val="Heading2"/>
      </w:pPr>
      <w:r>
        <w:t>Erwägungen</w:t>
      </w:r>
    </w:p>
    <w:p>
      <w:r>
        <w:rPr>
          <w:b/>
        </w:rPr>
        <w:t>E. 2</w:t>
      </w:r>
    </w:p>
    <w:p>
      <w:r>
        <w:t>Le présent litige porte sur le point de départ du délai prévu par l'art. 83 al. 2 LP pour agir en libération de dette lorsqu'il y a opposition au jugement de mainlevée. a) En pareil cas, si le droit cantonal de procédure prévoit un recours suspensif (ordinaire) contre le prononcé de mainlevée, le délai de l'art. 83 al. 2 LP ne commence à courir que de l'expiration du délai de recours, si celui-ci n'est pas utilisé, ou du jour du retrait du recours, si celui-ci est déposé dans les délais puis retiré, ou de la notification de l'arrêt sur recours. Si le recours contre le prononcé de mainlevée n'a d'effet suspensif ni en vertu du droit de procédure cantonal, ni en vertu d'une disposition expresse de la juridiction de recours ou de son président, le délai pour ouvrir action en libération de dette part de la notification du prononcé de mainlevée (GILLIÉRON, Poursuite pour dettes, faillite et concordat, 3e éd., Lausanne 1993, p. 156/157; AMONN/GASSER, Grundriss des Schuldbetreibungs- und Konkursrechts, 6e éd., Berne 1997, § 19 n. 99 et les références). En droit genevois, l'opposition au jugement prononcé par défaut est une voie de recours sui generis, assimilable, pour ce qui est de ses effets juridiques, à un appel ordinaire (SJ 1984, p. 514 ss consid. 7 p. 517). L'art. 355 LPC, qui réglemente ses effets en procédure BGE 124 III 34 S. 36 sommaire (al. 1), applicable en matière de mainlevée (art. 25 ch. 2 LP), prévoit que "l'opposition suspend les effets du jugement, à moins que le juge, en prononçant le défaut, n'ait ordonné l'exécution provisoire du jugement, nonobstant opposition, avec ou sans sûretés" (al. 2). L'effet suspensif de l'opposition est donc la règle en matière de procédure sommaire des art. 347 ss LPC (Bertossa/Gaillard/Guyet/Schmidt, Commentaire de la loi de procédure civile genevoise, vol. III n. 2 ad art. 355 et vol. I n. 3 ad art. 90). b) La recourante estime que, contrairement à ce que retient l'arrêt attaqué, le caractère recevable ou non de l'opposition ne joue aucun rôle quant au caractère suspensif de l'opposition en procédure sommaire. C'est à tort, ajoute-t-elle, que la Cour cantonale s'est référée et fondée sur les dispositions de procédure ordinaire (art. 90 LPC). Est en principe dotée de l'effet suspensif, aux termes de cette dernière disposition, "l'opposition fa ite en la forme ci-dessus [= celle de l'art. 88 LPC] et dans le délai des articles 84 et 85". La juridiction intimée considère que l'art. 90 LPC est applicable à la procédure sommaire "par renvoi de l'article 355 al. 2 LPC". Il ne s'agit toutefois manifestement pas d'un renvoi de l'art. 355 al. 2 LPC lui-même, qui n'en contient aucun; le renvoi auquel la Cour de justice fait allusion est en réalité un renvoi des commentateurs précités auxquels elle se réfère, ce qui est tout autre chose. A la différence de l'art. 90 al. 1 LPC, l'art. 355 al. 2 LPC ne limite pas l'effet suspensif à l'opposition faite en une forme déterminée. C'est donc à juste titre que la recourante reproche à la Cour cantonale d'avoir, sur ce point, tenu un raisonnement erroné, faisant fi de la systématique de la loi, laquelle distingue très clairement, en les traitant formellement de manière différente, l'opposition à défaut de la procédure ordinaire et celle de la procédure sommaire. Si, comme le juge de première instance l'a exposé dans son jugement du 28 novembre 1996 sans avoir été sérieusement contredit dans l'arrêt attaqué, les dispositions prévues par l'art. 355 LPC ont été reprises de l'ancienne loi de procédure civile genevoise sans modifications sensibles, l'objection de la Cour de justice, selon laquelle la recourante se prévaut vainement de la jurisprudence rendue sous l'empire de l'ancienne loi et publiée à la SJ 1984 p. 514, est dénuée de fondement. c) Au demeurant, l'arrêt attaqué est contradictoire dans la mesure où il retient, en fait, que la requête d'opposition ne contenait pas une "motivation suffisante", et considère, en droit, que ladite requête BGE 124 III 34 S. 37 était irrecevable "pour défaut de motivation". Plus précisément, la juridiction cantonale ne pouvait parler de "défaut de motivation", après avoir relevé que L., dans son opposition, avait fait valoir "qu'elle n'avait pas reçu la citation à comparaître, qu'en dépit d'une élection de domicile en l'étude de son avocat, la requête ne lui avait jamais été transmise et déclarait contester le bien-fondé de la demande", et qu'à l'audience, elle avait "invoqué l'absence d'une reconnaissance de dette et d'exigibilité de la créance".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